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42"/>
        <w:gridCol w:w="4157"/>
      </w:tblGrid>
      <w:tr w:rsidR="009805F0" w:rsidTr="00396C07">
        <w:trPr>
          <w:trHeight w:val="915"/>
        </w:trPr>
        <w:tc>
          <w:tcPr>
            <w:tcW w:w="5644" w:type="dxa"/>
            <w:vAlign w:val="center"/>
          </w:tcPr>
          <w:p w:rsidR="00AD2065" w:rsidRDefault="00AD2065" w:rsidP="00847DFF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2014 </w:t>
            </w:r>
            <w:r w:rsidR="00847DFF">
              <w:rPr>
                <w:rFonts w:asciiTheme="majorHAnsi" w:eastAsiaTheme="majorEastAsia" w:hAnsiTheme="majorHAnsi" w:cstheme="majorBidi"/>
                <w:sz w:val="36"/>
                <w:szCs w:val="36"/>
              </w:rPr>
              <w:t>EYLÜL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ÖZEL SEKTÖRÜN YURTDIŞINDAN SAĞLADIĞI KREDİ BORCU GELİŞMELERİ</w:t>
            </w:r>
          </w:p>
        </w:tc>
        <w:tc>
          <w:tcPr>
            <w:tcW w:w="4678" w:type="dxa"/>
          </w:tcPr>
          <w:p w:rsidR="00AD2065" w:rsidRDefault="009805F0" w:rsidP="00AD2065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18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Kasım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2014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9805F0" w:rsidP="00635369">
      <w:pPr>
        <w:jc w:val="both"/>
        <w:rPr>
          <w:b/>
        </w:rPr>
      </w:pPr>
      <w:r>
        <w:rPr>
          <w:b/>
        </w:rPr>
        <w:t>Özel Sektörün Yurtdışından Sağladığı Kredi Borcu’na ilişkin Eylül 2014 verileri</w:t>
      </w:r>
      <w:r w:rsidR="00EB586D">
        <w:rPr>
          <w:b/>
        </w:rPr>
        <w:t>,</w:t>
      </w:r>
      <w:r>
        <w:rPr>
          <w:b/>
        </w:rPr>
        <w:t xml:space="preserve"> </w:t>
      </w:r>
      <w:r w:rsidR="00EF4E45" w:rsidRPr="00EF4E45">
        <w:rPr>
          <w:b/>
        </w:rPr>
        <w:t xml:space="preserve">Türkiye </w:t>
      </w:r>
      <w:r>
        <w:rPr>
          <w:b/>
        </w:rPr>
        <w:t>Cumhuriyet Merkez Bankası (TCMB) tarafından 18</w:t>
      </w:r>
      <w:r w:rsidR="00EF4E45" w:rsidRPr="00EF4E45">
        <w:rPr>
          <w:b/>
        </w:rPr>
        <w:t xml:space="preserve"> </w:t>
      </w:r>
      <w:r w:rsidR="007441EB">
        <w:rPr>
          <w:b/>
        </w:rPr>
        <w:t>Kasım</w:t>
      </w:r>
      <w:r w:rsidR="00EF4E45" w:rsidRPr="00EF4E45">
        <w:rPr>
          <w:b/>
        </w:rPr>
        <w:t xml:space="preserve"> 2014 tarihinde yayımlandı.</w:t>
      </w:r>
    </w:p>
    <w:p w:rsidR="00DF5145" w:rsidRDefault="009805F0" w:rsidP="00635369">
      <w:pPr>
        <w:jc w:val="both"/>
      </w:pPr>
      <w: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>
        <w:t>,</w:t>
      </w:r>
      <w:r>
        <w:t xml:space="preserve"> işlemlere aracılık eden bankalar tarafından TCMB’ye işlem bazında gönderilen bildirim formlarından derlenmektedir.</w:t>
      </w:r>
    </w:p>
    <w:p w:rsidR="009805F0" w:rsidRDefault="00EB586D" w:rsidP="00635369">
      <w:pPr>
        <w:jc w:val="both"/>
      </w:pPr>
      <w:r w:rsidRPr="00EB586D">
        <w:t>Buna</w:t>
      </w:r>
      <w:r w:rsidR="002942B2">
        <w:t xml:space="preserve"> göre, 2014 yılı Eylül</w:t>
      </w:r>
      <w:r>
        <w:t xml:space="preserve"> ayı </w:t>
      </w:r>
      <w:r w:rsidR="00917F91">
        <w:t xml:space="preserve">sonu </w:t>
      </w:r>
      <w:r>
        <w:t>itibariyle özel sektörün yurt dışından sağ</w:t>
      </w:r>
      <w:r w:rsidR="002942B2">
        <w:t>ladığı uzun vadeli kredi borcu 2013 yılı sonuna</w:t>
      </w:r>
      <w:r w:rsidR="00B95D44">
        <w:t xml:space="preserve"> göre</w:t>
      </w:r>
      <w:r w:rsidR="002942B2">
        <w:t xml:space="preserve"> </w:t>
      </w:r>
      <w:r w:rsidR="00F82FEE">
        <w:t>yüzde 3.</w:t>
      </w:r>
      <w:r w:rsidR="00917F91">
        <w:t>9 (</w:t>
      </w:r>
      <w:r w:rsidR="002942B2">
        <w:t>6,1 milyar dolar</w:t>
      </w:r>
      <w:r w:rsidR="00917F91">
        <w:t>)</w:t>
      </w:r>
      <w:r w:rsidR="002942B2">
        <w:t xml:space="preserve"> artarak 163,6</w:t>
      </w:r>
      <w:r>
        <w:t xml:space="preserve"> milyar </w:t>
      </w:r>
      <w:r w:rsidR="002942B2">
        <w:t>ABD dolara ulaşmıştır</w:t>
      </w:r>
      <w:r>
        <w:t>.</w:t>
      </w:r>
      <w:r w:rsidR="00F82FEE">
        <w:t xml:space="preserve"> Aynı dönemde kısa vadeli kredi borcunda yaşanan artış ise yüzde 8.1 düzeyinde gerçekleşerek 43,6 milyar ABD dolarına ulaşmıştır. Böylelikle toplam kredi borcu </w:t>
      </w:r>
      <w:r w:rsidR="001F27E9">
        <w:t>yaklaşık yüzde 5’lik bir artış ile 207,2 milyar dolar düzeyinde gerçekleşmiştir (Şekil 1).</w:t>
      </w:r>
      <w:r w:rsidR="00F82FEE">
        <w:t xml:space="preserve"> </w:t>
      </w:r>
    </w:p>
    <w:p w:rsidR="001F27E9" w:rsidRDefault="001F27E9" w:rsidP="00635369">
      <w:pPr>
        <w:jc w:val="both"/>
      </w:pPr>
      <w:r>
        <w:t>Şekil 1: Özel Sektörün Yurtdışından Sağladığı Kredi Borcu (2004 – Eylül 2014)</w:t>
      </w:r>
    </w:p>
    <w:p w:rsidR="00917F91" w:rsidRDefault="001F27E9" w:rsidP="00635369">
      <w:pPr>
        <w:jc w:val="both"/>
      </w:pPr>
      <w:r w:rsidRPr="001F27E9">
        <w:rPr>
          <w:noProof/>
        </w:rPr>
        <w:drawing>
          <wp:inline distT="0" distB="0" distL="0" distR="0">
            <wp:extent cx="5667375" cy="3708711"/>
            <wp:effectExtent l="19050" t="0" r="9525" b="0"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218" cy="37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Kaynak: TCMB</w:t>
      </w:r>
    </w:p>
    <w:p w:rsidR="001F27E9" w:rsidRDefault="001F27E9" w:rsidP="00635369">
      <w:pPr>
        <w:jc w:val="both"/>
      </w:pPr>
    </w:p>
    <w:p w:rsidR="00882AC1" w:rsidRPr="00190AA1" w:rsidRDefault="00882AC1" w:rsidP="00635369">
      <w:pPr>
        <w:jc w:val="both"/>
        <w:rPr>
          <w:b/>
        </w:rPr>
      </w:pPr>
      <w:r w:rsidRPr="00190AA1">
        <w:rPr>
          <w:b/>
        </w:rPr>
        <w:lastRenderedPageBreak/>
        <w:t xml:space="preserve">Özel sektörün yurtdışından sağladığı uzun vadeli kredi borcunun borçluya göre dağılımı incelendiğinde, finansal kesimin kredi borcunun (%47.5), finansal olmayan kesimin kredi borcundan (%52.5) daha az olduğu görülmektedir. </w:t>
      </w:r>
    </w:p>
    <w:p w:rsidR="00190AA1" w:rsidRDefault="00190AA1" w:rsidP="00635369">
      <w:pPr>
        <w:jc w:val="both"/>
      </w:pPr>
      <w:r>
        <w:t xml:space="preserve">Uzun vadeli kredi borcu içinde finansal kuruluşların borcu 2014 Eylül ayı sonu itibariyle, 2013 yılı sonuna göre 6,2 milyar ABD doları artarak 77,7 milyar liraya ulaşırken; finansal olmayan kuruluşların borcu ise 62,6 milyon ABD doları azalarak 85,8 milyar ABD dolarına gerilemiştir. </w:t>
      </w:r>
    </w:p>
    <w:p w:rsidR="00A3231D" w:rsidRDefault="00A3231D" w:rsidP="00635369">
      <w:pPr>
        <w:jc w:val="both"/>
      </w:pPr>
      <w:r>
        <w:t>Tablo 1: Özel Sektörün Yurtdışından Sağladığı Uzun Vadeli Kredi Borcu (borçluya göre dağılım)</w:t>
      </w:r>
    </w:p>
    <w:p w:rsidR="00A3231D" w:rsidRDefault="00A3231D" w:rsidP="00635369">
      <w:pPr>
        <w:jc w:val="both"/>
      </w:pPr>
      <w:r w:rsidRPr="00A3231D">
        <w:rPr>
          <w:noProof/>
        </w:rPr>
        <w:drawing>
          <wp:inline distT="0" distB="0" distL="0" distR="0">
            <wp:extent cx="5972810" cy="1841989"/>
            <wp:effectExtent l="19050" t="0" r="889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84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1D" w:rsidRDefault="00A3231D" w:rsidP="00635369">
      <w:pPr>
        <w:jc w:val="both"/>
      </w:pPr>
      <w:r>
        <w:t>Kaynak: TCMB</w:t>
      </w:r>
    </w:p>
    <w:p w:rsidR="00A3231D" w:rsidRPr="00190AA1" w:rsidRDefault="00A3231D" w:rsidP="00635369">
      <w:pPr>
        <w:jc w:val="both"/>
        <w:rPr>
          <w:b/>
        </w:rPr>
      </w:pPr>
      <w:r w:rsidRPr="00190AA1">
        <w:rPr>
          <w:b/>
        </w:rPr>
        <w:t xml:space="preserve">Özel sektörün yurtdışından sağladığı </w:t>
      </w:r>
      <w:r w:rsidR="003768E6">
        <w:rPr>
          <w:b/>
        </w:rPr>
        <w:t>kısa</w:t>
      </w:r>
      <w:bookmarkStart w:id="0" w:name="_GoBack"/>
      <w:bookmarkEnd w:id="0"/>
      <w:r w:rsidRPr="00190AA1">
        <w:rPr>
          <w:b/>
        </w:rPr>
        <w:t xml:space="preserve"> vadeli kredi borcunun borçluya göre dağılımı incelendiğinde, </w:t>
      </w:r>
      <w:r w:rsidR="00FC5BC2">
        <w:rPr>
          <w:b/>
        </w:rPr>
        <w:t>tamamına yakınının finansal kesime ait olduğu görülmektedir. Finansal kuruluşların kredi borcunun toplam kısa vadeli borçlar içindeki payı %93,1 iken finansal olmayan kesimin pay %6,7’dir.</w:t>
      </w:r>
    </w:p>
    <w:p w:rsidR="00A3231D" w:rsidRDefault="00FC5BC2" w:rsidP="00635369">
      <w:pPr>
        <w:jc w:val="both"/>
      </w:pPr>
      <w:r>
        <w:t>Kısa v</w:t>
      </w:r>
      <w:r w:rsidR="00A3231D">
        <w:t xml:space="preserve">adeli kredi borcu içinde finansal kuruluşların borcu 2014 Eylül ayı sonu itibariyle, </w:t>
      </w:r>
      <w:r>
        <w:t>2013 yılı sonuna göre 2,9 milyar ABD doları artarak 40,6</w:t>
      </w:r>
      <w:r w:rsidR="00A3231D">
        <w:t xml:space="preserve"> milyar liraya ulaşırken; finansal olm</w:t>
      </w:r>
      <w:r>
        <w:t>ayan kuruluşların borcu ise 0,3 milyon ABD doları artmış ve 2,9 milyar</w:t>
      </w:r>
      <w:r w:rsidR="00A3231D">
        <w:t xml:space="preserve"> ABD doları</w:t>
      </w:r>
      <w:r>
        <w:t xml:space="preserve"> olarak gerçekleşmiştir.</w:t>
      </w:r>
    </w:p>
    <w:p w:rsidR="00FC5BC2" w:rsidRDefault="004A23EE" w:rsidP="00635369">
      <w:pPr>
        <w:jc w:val="both"/>
      </w:pPr>
      <w:r>
        <w:t>Tablo 2:</w:t>
      </w:r>
      <w:r w:rsidR="00FC5BC2">
        <w:t xml:space="preserve"> Özel Sektörün Yurtdışından Sağladığı Kısa Vadeli Kredi Borcu (borçluya göre dağılım)</w:t>
      </w:r>
    </w:p>
    <w:p w:rsidR="00FC5BC2" w:rsidRDefault="00FC5BC2" w:rsidP="00635369">
      <w:pPr>
        <w:jc w:val="both"/>
      </w:pPr>
      <w:r w:rsidRPr="00FC5BC2">
        <w:rPr>
          <w:noProof/>
        </w:rPr>
        <w:drawing>
          <wp:inline distT="0" distB="0" distL="0" distR="0">
            <wp:extent cx="5972810" cy="1938160"/>
            <wp:effectExtent l="19050" t="0" r="889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9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369" w:rsidRDefault="00FC5BC2" w:rsidP="00635369">
      <w:pPr>
        <w:jc w:val="both"/>
      </w:pPr>
      <w:r>
        <w:t>Kaynak: TCMB</w:t>
      </w:r>
    </w:p>
    <w:p w:rsidR="00190AA1" w:rsidRDefault="00190AA1" w:rsidP="00635369">
      <w:pPr>
        <w:jc w:val="both"/>
      </w:pPr>
      <w:r>
        <w:lastRenderedPageBreak/>
        <w:t>2014 yılı Eylül ayı itibariyle özel sektörün uzun vadeli finansal olmayan kredi borcunun %60,5’i hizmetler, %39,1’i sanayi ve %0,5’i de tarım sektörü tarafından kullanılmıştır.</w:t>
      </w:r>
      <w:r w:rsidR="00A3231D">
        <w:t xml:space="preserve"> Kısa vadeli finansal olmayan kredi borcunun sektörel dağılımında ise sanayi sektörü öne çıkmaktadır.  Sanayi sektörü tarafından kullanılan kredilerin, kısa vadeli finansal olmayan krediler içindeki payı Eylül 2014 itibariyle %52,3 olarak gerçekleşmiştir. Hizmetler ve tarım sektörlerinin payları ise sırasıyla; %47,1 ve %0,6’dır.</w:t>
      </w:r>
    </w:p>
    <w:p w:rsidR="00FC5BC2" w:rsidRDefault="00FC5BC2" w:rsidP="00635369">
      <w:pPr>
        <w:jc w:val="both"/>
      </w:pPr>
      <w:r>
        <w:t>Son olarak özel sektörün yurt dışından sağladığı kredi borcu 2014 yılı Eylül ayı sonu itibariyle kalan vadeye göre incelendiğinde, 1 yıl içinde toplam 72,6 milyar ABD doları kadar anapara geri ödemesi gerçekleştirileceği görülmektedir</w:t>
      </w:r>
      <w:r w:rsidR="00440778">
        <w:t xml:space="preserve"> (Şekil 2)</w:t>
      </w:r>
      <w:r>
        <w:t>.</w:t>
      </w:r>
    </w:p>
    <w:p w:rsidR="00635369" w:rsidRDefault="00635369" w:rsidP="00EF4E45">
      <w:r>
        <w:t>Şekil 2: Özel Sektörün Yurtdışından Sağladığı Kalan Vadesi 1 Yıla Kadar Olan Kredi Borcunun Aylara Göre Dağılımı (Ticari krediler hariç)</w:t>
      </w:r>
    </w:p>
    <w:p w:rsidR="00A3231D" w:rsidRDefault="00635369" w:rsidP="00EF4E45">
      <w:r w:rsidRPr="00635369">
        <w:rPr>
          <w:noProof/>
        </w:rPr>
        <w:drawing>
          <wp:inline distT="0" distB="0" distL="0" distR="0">
            <wp:extent cx="5781675" cy="3397130"/>
            <wp:effectExtent l="19050" t="0" r="9525" b="0"/>
            <wp:docPr id="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41" cy="340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BC2">
        <w:t xml:space="preserve"> </w:t>
      </w:r>
    </w:p>
    <w:p w:rsidR="00635369" w:rsidRDefault="00635369" w:rsidP="00EF4E45">
      <w:r>
        <w:t>Kaynak: TCMB</w:t>
      </w:r>
    </w:p>
    <w:p w:rsidR="002942B2" w:rsidRDefault="002942B2" w:rsidP="002942B2"/>
    <w:sectPr w:rsidR="002942B2" w:rsidSect="00432DF5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DE" w:rsidRDefault="001469DE" w:rsidP="004A23EE">
      <w:pPr>
        <w:spacing w:after="0" w:line="240" w:lineRule="auto"/>
      </w:pPr>
      <w:r>
        <w:separator/>
      </w:r>
    </w:p>
  </w:endnote>
  <w:endnote w:type="continuationSeparator" w:id="0">
    <w:p w:rsidR="001469DE" w:rsidRDefault="001469DE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4A23EE" w:rsidRDefault="008C096C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8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23EE" w:rsidRDefault="004A23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DE" w:rsidRDefault="001469DE" w:rsidP="004A23EE">
      <w:pPr>
        <w:spacing w:after="0" w:line="240" w:lineRule="auto"/>
      </w:pPr>
      <w:r>
        <w:separator/>
      </w:r>
    </w:p>
  </w:footnote>
  <w:footnote w:type="continuationSeparator" w:id="0">
    <w:p w:rsidR="001469DE" w:rsidRDefault="001469DE" w:rsidP="004A2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355"/>
    <w:rsid w:val="000701FD"/>
    <w:rsid w:val="000D18BE"/>
    <w:rsid w:val="001469DE"/>
    <w:rsid w:val="00146E16"/>
    <w:rsid w:val="00190AA1"/>
    <w:rsid w:val="001C74C3"/>
    <w:rsid w:val="001E11A2"/>
    <w:rsid w:val="001E5A63"/>
    <w:rsid w:val="001F27E9"/>
    <w:rsid w:val="001F7633"/>
    <w:rsid w:val="00233BD5"/>
    <w:rsid w:val="00251C0B"/>
    <w:rsid w:val="002942B2"/>
    <w:rsid w:val="002D3E19"/>
    <w:rsid w:val="00357954"/>
    <w:rsid w:val="003641B3"/>
    <w:rsid w:val="003768E6"/>
    <w:rsid w:val="00381799"/>
    <w:rsid w:val="003A57CB"/>
    <w:rsid w:val="003B2E61"/>
    <w:rsid w:val="00432DF5"/>
    <w:rsid w:val="00440778"/>
    <w:rsid w:val="004A23EE"/>
    <w:rsid w:val="004E7C34"/>
    <w:rsid w:val="005405F5"/>
    <w:rsid w:val="00574C38"/>
    <w:rsid w:val="005C53F8"/>
    <w:rsid w:val="006020BD"/>
    <w:rsid w:val="00635369"/>
    <w:rsid w:val="006D41B5"/>
    <w:rsid w:val="0070186C"/>
    <w:rsid w:val="00731B2B"/>
    <w:rsid w:val="007330A1"/>
    <w:rsid w:val="007441EB"/>
    <w:rsid w:val="007736BE"/>
    <w:rsid w:val="00847DFF"/>
    <w:rsid w:val="00882AC1"/>
    <w:rsid w:val="008C096C"/>
    <w:rsid w:val="008C2C15"/>
    <w:rsid w:val="008D1077"/>
    <w:rsid w:val="00911741"/>
    <w:rsid w:val="00917F91"/>
    <w:rsid w:val="009805F0"/>
    <w:rsid w:val="009F54F1"/>
    <w:rsid w:val="00A3231D"/>
    <w:rsid w:val="00A77365"/>
    <w:rsid w:val="00AD2065"/>
    <w:rsid w:val="00B33D14"/>
    <w:rsid w:val="00B8612E"/>
    <w:rsid w:val="00B95D44"/>
    <w:rsid w:val="00BC294E"/>
    <w:rsid w:val="00BC5F10"/>
    <w:rsid w:val="00BF3E70"/>
    <w:rsid w:val="00C144CC"/>
    <w:rsid w:val="00C21D8B"/>
    <w:rsid w:val="00C80C82"/>
    <w:rsid w:val="00C83B6C"/>
    <w:rsid w:val="00CC7D5F"/>
    <w:rsid w:val="00D2299D"/>
    <w:rsid w:val="00D23355"/>
    <w:rsid w:val="00DC5FDC"/>
    <w:rsid w:val="00DE7934"/>
    <w:rsid w:val="00EB586D"/>
    <w:rsid w:val="00EF4E45"/>
    <w:rsid w:val="00F82FEE"/>
    <w:rsid w:val="00F91828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BB0A2-80FE-48F2-BAAB-37761F67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m.behzat ekinci</cp:lastModifiedBy>
  <cp:revision>6</cp:revision>
  <cp:lastPrinted>2014-11-19T14:11:00Z</cp:lastPrinted>
  <dcterms:created xsi:type="dcterms:W3CDTF">2014-11-18T16:52:00Z</dcterms:created>
  <dcterms:modified xsi:type="dcterms:W3CDTF">2014-11-20T12:59:00Z</dcterms:modified>
</cp:coreProperties>
</file>